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A8" w:rsidRDefault="00F45CA8" w:rsidP="00683D9B">
      <w:pPr>
        <w:spacing w:line="360" w:lineRule="auto"/>
        <w:jc w:val="center"/>
        <w:rPr>
          <w:rFonts w:ascii="Arial" w:hAnsi="Arial" w:cs="Arial"/>
          <w:b/>
        </w:rPr>
      </w:pPr>
    </w:p>
    <w:p w:rsidR="00F45CA8" w:rsidRPr="003D0D67" w:rsidRDefault="004B4FCB" w:rsidP="003D0D67">
      <w:pPr>
        <w:spacing w:line="360" w:lineRule="auto"/>
        <w:jc w:val="center"/>
        <w:rPr>
          <w:rFonts w:ascii="Arial" w:hAnsi="Arial" w:cs="Arial"/>
          <w:b/>
        </w:rPr>
      </w:pPr>
      <w:hyperlink r:id="rId5" w:history="1">
        <w:r w:rsidR="00F45CA8" w:rsidRPr="003D0D67">
          <w:rPr>
            <w:rFonts w:ascii="Arial" w:hAnsi="Arial" w:cs="Arial"/>
            <w:b/>
          </w:rPr>
          <w:t>Factors that influence rheumatologists' anti-</w:t>
        </w:r>
        <w:proofErr w:type="spellStart"/>
        <w:r w:rsidR="00F45CA8" w:rsidRPr="003D0D67">
          <w:rPr>
            <w:rFonts w:ascii="Arial" w:hAnsi="Arial" w:cs="Arial"/>
            <w:b/>
          </w:rPr>
          <w:t>tumor</w:t>
        </w:r>
        <w:proofErr w:type="spellEnd"/>
        <w:r w:rsidR="00F45CA8" w:rsidRPr="003D0D67">
          <w:rPr>
            <w:rFonts w:ascii="Arial" w:hAnsi="Arial" w:cs="Arial"/>
            <w:b/>
          </w:rPr>
          <w:t xml:space="preserve"> necrosis factor alpha prescribing decisions: a qualitative study.</w:t>
        </w:r>
      </w:hyperlink>
      <w:r w:rsidR="00F45CA8" w:rsidRPr="003D0D67">
        <w:rPr>
          <w:rFonts w:ascii="Arial" w:hAnsi="Arial" w:cs="Arial"/>
          <w:b/>
        </w:rPr>
        <w:t xml:space="preserve"> </w:t>
      </w:r>
    </w:p>
    <w:p w:rsidR="00F45CA8" w:rsidRDefault="00F45CA8" w:rsidP="003D0D67">
      <w:pPr>
        <w:shd w:val="clear" w:color="auto" w:fill="FFFFFF"/>
        <w:spacing w:after="0" w:line="240" w:lineRule="auto"/>
        <w:rPr>
          <w:rFonts w:cs="Segoe UI"/>
          <w:lang w:eastAsia="en-GB"/>
        </w:rPr>
      </w:pPr>
    </w:p>
    <w:p w:rsidR="00F45CA8" w:rsidRPr="00F45CA8" w:rsidRDefault="00F45CA8" w:rsidP="003D0D67">
      <w:pPr>
        <w:shd w:val="clear" w:color="auto" w:fill="FFFFFF"/>
        <w:spacing w:after="0" w:line="240" w:lineRule="auto"/>
        <w:rPr>
          <w:rFonts w:cs="Segoe UI"/>
          <w:lang w:eastAsia="en-GB"/>
        </w:rPr>
      </w:pPr>
      <w:proofErr w:type="gramStart"/>
      <w:r w:rsidRPr="00F45CA8">
        <w:rPr>
          <w:rFonts w:cs="Segoe UI"/>
          <w:lang w:eastAsia="en-GB"/>
        </w:rPr>
        <w:t xml:space="preserve">BMC </w:t>
      </w:r>
      <w:proofErr w:type="spellStart"/>
      <w:r w:rsidRPr="00F45CA8">
        <w:rPr>
          <w:rFonts w:cs="Segoe UI"/>
          <w:lang w:eastAsia="en-GB"/>
        </w:rPr>
        <w:t>Rheumatol</w:t>
      </w:r>
      <w:proofErr w:type="spellEnd"/>
      <w:r w:rsidRPr="00F45CA8">
        <w:rPr>
          <w:rFonts w:cs="Segoe UI"/>
          <w:lang w:eastAsia="en-GB"/>
        </w:rPr>
        <w:t>.</w:t>
      </w:r>
      <w:proofErr w:type="gramEnd"/>
      <w:r w:rsidRPr="00F45CA8">
        <w:rPr>
          <w:rFonts w:cs="Segoe UI"/>
          <w:lang w:eastAsia="en-GB"/>
        </w:rPr>
        <w:t xml:space="preserve"> 2019 Dec 19</w:t>
      </w:r>
      <w:proofErr w:type="gramStart"/>
      <w:r w:rsidRPr="00F45CA8">
        <w:rPr>
          <w:rFonts w:cs="Segoe UI"/>
          <w:lang w:eastAsia="en-GB"/>
        </w:rPr>
        <w:t>;3:47</w:t>
      </w:r>
      <w:proofErr w:type="gramEnd"/>
      <w:r w:rsidRPr="00F45CA8">
        <w:rPr>
          <w:rFonts w:cs="Segoe UI"/>
          <w:lang w:eastAsia="en-GB"/>
        </w:rPr>
        <w:t xml:space="preserve">. </w:t>
      </w:r>
      <w:proofErr w:type="spellStart"/>
      <w:proofErr w:type="gramStart"/>
      <w:r w:rsidRPr="00F45CA8">
        <w:rPr>
          <w:rFonts w:cs="Segoe UI"/>
          <w:lang w:eastAsia="en-GB"/>
        </w:rPr>
        <w:t>doi</w:t>
      </w:r>
      <w:proofErr w:type="spellEnd"/>
      <w:proofErr w:type="gramEnd"/>
      <w:r w:rsidRPr="00F45CA8">
        <w:rPr>
          <w:rFonts w:cs="Segoe UI"/>
          <w:lang w:eastAsia="en-GB"/>
        </w:rPr>
        <w:t xml:space="preserve">: 10.1186/s41927-019-0097-0. </w:t>
      </w:r>
      <w:proofErr w:type="spellStart"/>
      <w:proofErr w:type="gramStart"/>
      <w:r w:rsidRPr="00F45CA8">
        <w:rPr>
          <w:rFonts w:cs="Segoe UI"/>
          <w:lang w:eastAsia="en-GB"/>
        </w:rPr>
        <w:t>eCollection</w:t>
      </w:r>
      <w:proofErr w:type="spellEnd"/>
      <w:proofErr w:type="gramEnd"/>
      <w:r w:rsidRPr="00F45CA8">
        <w:rPr>
          <w:rFonts w:cs="Segoe UI"/>
          <w:lang w:eastAsia="en-GB"/>
        </w:rPr>
        <w:t xml:space="preserve"> 2019.PMID: 31891115</w:t>
      </w:r>
    </w:p>
    <w:p w:rsidR="00F45CA8" w:rsidRDefault="00F45CA8" w:rsidP="00683D9B">
      <w:pPr>
        <w:spacing w:line="360" w:lineRule="auto"/>
        <w:jc w:val="center"/>
        <w:rPr>
          <w:rFonts w:ascii="Arial" w:hAnsi="Arial" w:cs="Arial"/>
          <w:b/>
        </w:rPr>
      </w:pPr>
    </w:p>
    <w:p w:rsidR="00A949BD" w:rsidRDefault="00F45CA8" w:rsidP="00F45CA8">
      <w:pPr>
        <w:spacing w:line="360" w:lineRule="auto"/>
        <w:jc w:val="center"/>
        <w:rPr>
          <w:rFonts w:ascii="Arial" w:hAnsi="Arial" w:cs="Arial"/>
          <w:b/>
        </w:rPr>
      </w:pPr>
      <w:r>
        <w:rPr>
          <w:rFonts w:ascii="Arial" w:hAnsi="Arial" w:cs="Arial"/>
          <w:b/>
        </w:rPr>
        <w:t xml:space="preserve">Lay Title: </w:t>
      </w:r>
      <w:r w:rsidR="00683D9B" w:rsidRPr="003D0D67">
        <w:rPr>
          <w:rFonts w:ascii="Arial" w:hAnsi="Arial" w:cs="Arial"/>
        </w:rPr>
        <w:t xml:space="preserve">Factors that </w:t>
      </w:r>
      <w:r w:rsidR="00126020" w:rsidRPr="003D0D67">
        <w:rPr>
          <w:rFonts w:ascii="Arial" w:hAnsi="Arial" w:cs="Arial"/>
        </w:rPr>
        <w:t xml:space="preserve">influence how </w:t>
      </w:r>
      <w:r w:rsidR="00683D9B" w:rsidRPr="003D0D67">
        <w:rPr>
          <w:rFonts w:ascii="Arial" w:hAnsi="Arial" w:cs="Arial"/>
        </w:rPr>
        <w:t>Rheumatologists</w:t>
      </w:r>
      <w:r w:rsidR="00126020" w:rsidRPr="003D0D67">
        <w:rPr>
          <w:rFonts w:ascii="Arial" w:hAnsi="Arial" w:cs="Arial"/>
        </w:rPr>
        <w:t xml:space="preserve"> prescribe</w:t>
      </w:r>
      <w:r w:rsidR="00683D9B" w:rsidRPr="003D0D67">
        <w:rPr>
          <w:rFonts w:ascii="Arial" w:hAnsi="Arial" w:cs="Arial"/>
        </w:rPr>
        <w:t xml:space="preserve"> Anti-</w:t>
      </w:r>
      <w:proofErr w:type="spellStart"/>
      <w:r w:rsidR="00683D9B" w:rsidRPr="003D0D67">
        <w:rPr>
          <w:rFonts w:ascii="Arial" w:hAnsi="Arial" w:cs="Arial"/>
        </w:rPr>
        <w:t>Tumor</w:t>
      </w:r>
      <w:proofErr w:type="spellEnd"/>
      <w:r w:rsidR="00683D9B" w:rsidRPr="003D0D67">
        <w:rPr>
          <w:rFonts w:ascii="Arial" w:hAnsi="Arial" w:cs="Arial"/>
        </w:rPr>
        <w:t xml:space="preserve"> Necrosis Factor</w:t>
      </w:r>
      <w:r w:rsidR="00126020" w:rsidRPr="003D0D67">
        <w:rPr>
          <w:rFonts w:ascii="Arial" w:hAnsi="Arial" w:cs="Arial"/>
        </w:rPr>
        <w:t xml:space="preserve"> (Anti-TNF)</w:t>
      </w:r>
      <w:r w:rsidR="00683D9B" w:rsidRPr="003D0D67">
        <w:rPr>
          <w:rFonts w:ascii="Arial" w:hAnsi="Arial" w:cs="Arial"/>
        </w:rPr>
        <w:t xml:space="preserve"> </w:t>
      </w:r>
      <w:r w:rsidR="00126020" w:rsidRPr="003D0D67">
        <w:rPr>
          <w:rFonts w:ascii="Arial" w:hAnsi="Arial" w:cs="Arial"/>
        </w:rPr>
        <w:t>biological treatments for people with rheumatoid arthritis</w:t>
      </w:r>
    </w:p>
    <w:p w:rsidR="00A949BD" w:rsidRDefault="00683D9B" w:rsidP="003D0D67">
      <w:pPr>
        <w:spacing w:line="360" w:lineRule="auto"/>
        <w:jc w:val="center"/>
        <w:outlineLvl w:val="0"/>
        <w:rPr>
          <w:rFonts w:ascii="Arial" w:hAnsi="Arial" w:cs="Arial"/>
          <w:vertAlign w:val="superscript"/>
        </w:rPr>
      </w:pPr>
      <w:r>
        <w:rPr>
          <w:rFonts w:ascii="Arial" w:hAnsi="Arial" w:cs="Arial"/>
        </w:rPr>
        <w:t>Sean P. Gavan</w:t>
      </w:r>
      <w:r w:rsidR="00A60FB0">
        <w:rPr>
          <w:rFonts w:ascii="Arial" w:hAnsi="Arial" w:cs="Arial"/>
          <w:vertAlign w:val="superscript"/>
        </w:rPr>
        <w:t>1</w:t>
      </w:r>
      <w:proofErr w:type="gramStart"/>
      <w:r w:rsidR="00A60FB0">
        <w:rPr>
          <w:rFonts w:ascii="Arial" w:hAnsi="Arial" w:cs="Arial"/>
          <w:vertAlign w:val="superscript"/>
        </w:rPr>
        <w:t>,2</w:t>
      </w:r>
      <w:proofErr w:type="gramEnd"/>
      <w:r>
        <w:rPr>
          <w:rFonts w:ascii="Arial" w:hAnsi="Arial" w:cs="Arial"/>
        </w:rPr>
        <w:t>; Gavin Daker-White</w:t>
      </w:r>
      <w:r w:rsidR="00A60FB0">
        <w:rPr>
          <w:rFonts w:ascii="Arial" w:hAnsi="Arial" w:cs="Arial"/>
          <w:vertAlign w:val="superscript"/>
        </w:rPr>
        <w:t>3</w:t>
      </w:r>
      <w:r>
        <w:rPr>
          <w:rFonts w:ascii="Arial" w:hAnsi="Arial" w:cs="Arial"/>
        </w:rPr>
        <w:t>; Katherine Payne</w:t>
      </w:r>
      <w:r w:rsidR="00A60FB0">
        <w:rPr>
          <w:rFonts w:ascii="Arial" w:hAnsi="Arial" w:cs="Arial"/>
          <w:vertAlign w:val="superscript"/>
        </w:rPr>
        <w:t>1,2</w:t>
      </w:r>
      <w:r>
        <w:rPr>
          <w:rFonts w:ascii="Arial" w:hAnsi="Arial" w:cs="Arial"/>
        </w:rPr>
        <w:t>; Anne Barton</w:t>
      </w:r>
      <w:r w:rsidR="00A60FB0">
        <w:rPr>
          <w:rFonts w:ascii="Arial" w:hAnsi="Arial" w:cs="Arial"/>
          <w:vertAlign w:val="superscript"/>
        </w:rPr>
        <w:t>2,4</w:t>
      </w:r>
    </w:p>
    <w:p w:rsidR="00A949BD" w:rsidRPr="00911B8E" w:rsidRDefault="00A949BD" w:rsidP="00A949BD">
      <w:pPr>
        <w:spacing w:line="240" w:lineRule="auto"/>
        <w:jc w:val="both"/>
        <w:rPr>
          <w:rFonts w:ascii="Arial" w:hAnsi="Arial" w:cs="Arial"/>
          <w:sz w:val="18"/>
          <w:szCs w:val="18"/>
        </w:rPr>
      </w:pPr>
      <w:r w:rsidRPr="00911B8E">
        <w:rPr>
          <w:rFonts w:ascii="Arial" w:hAnsi="Arial" w:cs="Arial"/>
          <w:sz w:val="18"/>
          <w:szCs w:val="18"/>
        </w:rPr>
        <w:t xml:space="preserve">1. Manchester Centre for Health Economics, Division of Population Health, Health Services Research and Primary Care, School of Health Sciences, Faculty of Biology, Medicine and Health, The University of Manchester, UK. </w:t>
      </w:r>
    </w:p>
    <w:p w:rsidR="00A949BD" w:rsidRPr="00911B8E" w:rsidRDefault="00A949BD" w:rsidP="00A949BD">
      <w:pPr>
        <w:spacing w:line="240" w:lineRule="auto"/>
        <w:jc w:val="both"/>
        <w:rPr>
          <w:rFonts w:ascii="Arial" w:hAnsi="Arial" w:cs="Arial"/>
          <w:sz w:val="18"/>
          <w:szCs w:val="18"/>
        </w:rPr>
      </w:pPr>
      <w:r w:rsidRPr="00911B8E">
        <w:rPr>
          <w:rFonts w:ascii="Arial" w:hAnsi="Arial" w:cs="Arial"/>
          <w:sz w:val="18"/>
          <w:szCs w:val="18"/>
        </w:rPr>
        <w:t xml:space="preserve">2. NIHR Manchester Biomedical Research Centre, Manchester University NHS Foundation Trust, Manchester Academic Health Sciences Centre, Manchester UK. </w:t>
      </w:r>
    </w:p>
    <w:p w:rsidR="00A949BD" w:rsidRPr="00911B8E" w:rsidRDefault="00A949BD" w:rsidP="00A949BD">
      <w:pPr>
        <w:spacing w:line="240" w:lineRule="auto"/>
        <w:jc w:val="both"/>
        <w:rPr>
          <w:rFonts w:ascii="Arial" w:hAnsi="Arial" w:cs="Arial"/>
          <w:sz w:val="18"/>
          <w:szCs w:val="18"/>
        </w:rPr>
      </w:pPr>
      <w:r w:rsidRPr="00911B8E">
        <w:rPr>
          <w:rFonts w:ascii="Arial" w:hAnsi="Arial" w:cs="Arial"/>
          <w:sz w:val="18"/>
          <w:szCs w:val="18"/>
        </w:rPr>
        <w:t xml:space="preserve">3. NIHR Greater Manchester Patient Safety Translation Research Centre, Division of Population Health, Health Services Research and Primary Care, School of Health Sciences, Faculty of Biology, Medicine and Health, The University of Manchester, UK. </w:t>
      </w:r>
    </w:p>
    <w:p w:rsidR="00A949BD" w:rsidRDefault="00A949BD" w:rsidP="00A949BD">
      <w:pPr>
        <w:spacing w:line="240" w:lineRule="auto"/>
        <w:jc w:val="both"/>
        <w:rPr>
          <w:rFonts w:ascii="Arial" w:hAnsi="Arial" w:cs="Arial"/>
          <w:sz w:val="18"/>
          <w:szCs w:val="18"/>
        </w:rPr>
      </w:pPr>
      <w:r w:rsidRPr="00911B8E">
        <w:rPr>
          <w:rFonts w:ascii="Arial" w:hAnsi="Arial" w:cs="Arial"/>
          <w:sz w:val="18"/>
          <w:szCs w:val="18"/>
        </w:rPr>
        <w:t xml:space="preserve">4. Arthritis Research UK Centre for Genetics and Genomics, Centre for Musculoskeletal Research, Division of Musculoskeletal and Dermatological Sciences, School of Biological Sciences, Faculty of Biology, Medicine and Health, </w:t>
      </w:r>
      <w:proofErr w:type="gramStart"/>
      <w:r w:rsidRPr="00911B8E">
        <w:rPr>
          <w:rFonts w:ascii="Arial" w:hAnsi="Arial" w:cs="Arial"/>
          <w:sz w:val="18"/>
          <w:szCs w:val="18"/>
        </w:rPr>
        <w:t>The</w:t>
      </w:r>
      <w:proofErr w:type="gramEnd"/>
      <w:r w:rsidRPr="00911B8E">
        <w:rPr>
          <w:rFonts w:ascii="Arial" w:hAnsi="Arial" w:cs="Arial"/>
          <w:sz w:val="18"/>
          <w:szCs w:val="18"/>
        </w:rPr>
        <w:t xml:space="preserve"> University of Manchester, UK. </w:t>
      </w:r>
    </w:p>
    <w:p w:rsidR="00A949BD" w:rsidRPr="00A949BD" w:rsidRDefault="00A949BD" w:rsidP="00A949BD">
      <w:pPr>
        <w:spacing w:line="240" w:lineRule="auto"/>
        <w:jc w:val="both"/>
        <w:rPr>
          <w:rFonts w:ascii="Arial" w:hAnsi="Arial" w:cs="Arial"/>
          <w:sz w:val="18"/>
          <w:szCs w:val="18"/>
        </w:rPr>
      </w:pPr>
    </w:p>
    <w:p w:rsidR="00E574C7" w:rsidRDefault="00F1210E" w:rsidP="00683D9B">
      <w:pPr>
        <w:spacing w:line="360" w:lineRule="auto"/>
        <w:jc w:val="both"/>
        <w:rPr>
          <w:rFonts w:ascii="Arial" w:hAnsi="Arial" w:cs="Arial"/>
        </w:rPr>
      </w:pPr>
      <w:r>
        <w:rPr>
          <w:rFonts w:ascii="Arial" w:hAnsi="Arial" w:cs="Arial"/>
        </w:rPr>
        <w:t xml:space="preserve">It is important to understand how treatments are </w:t>
      </w:r>
      <w:r w:rsidR="00126020">
        <w:rPr>
          <w:rFonts w:ascii="Arial" w:hAnsi="Arial" w:cs="Arial"/>
        </w:rPr>
        <w:t xml:space="preserve">currently </w:t>
      </w:r>
      <w:r>
        <w:rPr>
          <w:rFonts w:ascii="Arial" w:hAnsi="Arial" w:cs="Arial"/>
        </w:rPr>
        <w:t>prescribed before a</w:t>
      </w:r>
      <w:r w:rsidR="00126020">
        <w:rPr>
          <w:rFonts w:ascii="Arial" w:hAnsi="Arial" w:cs="Arial"/>
        </w:rPr>
        <w:t>ny</w:t>
      </w:r>
      <w:r>
        <w:rPr>
          <w:rFonts w:ascii="Arial" w:hAnsi="Arial" w:cs="Arial"/>
        </w:rPr>
        <w:t xml:space="preserve"> new approach is introduced. Prescribing decisions are usually made by referring to clinical guidelines or recommendations. </w:t>
      </w:r>
      <w:r w:rsidR="002454A4">
        <w:rPr>
          <w:rFonts w:ascii="Arial" w:hAnsi="Arial" w:cs="Arial"/>
        </w:rPr>
        <w:t xml:space="preserve">Different factors can influence rheumatologists when </w:t>
      </w:r>
      <w:r w:rsidR="007F12C7">
        <w:rPr>
          <w:rFonts w:ascii="Arial" w:hAnsi="Arial" w:cs="Arial"/>
        </w:rPr>
        <w:t>a prescribing decision is made</w:t>
      </w:r>
      <w:r w:rsidR="002454A4">
        <w:rPr>
          <w:rFonts w:ascii="Arial" w:hAnsi="Arial" w:cs="Arial"/>
        </w:rPr>
        <w:t>. These influences may lead</w:t>
      </w:r>
      <w:r w:rsidR="00507B06">
        <w:rPr>
          <w:rFonts w:ascii="Arial" w:hAnsi="Arial" w:cs="Arial"/>
        </w:rPr>
        <w:t xml:space="preserve"> some</w:t>
      </w:r>
      <w:r w:rsidR="002454A4">
        <w:rPr>
          <w:rFonts w:ascii="Arial" w:hAnsi="Arial" w:cs="Arial"/>
        </w:rPr>
        <w:t xml:space="preserve"> people to receive different treatments for their rheumatoid arthritis. </w:t>
      </w:r>
      <w:r w:rsidR="00911DB1">
        <w:rPr>
          <w:rFonts w:ascii="Arial" w:hAnsi="Arial" w:cs="Arial"/>
        </w:rPr>
        <w:t>Eleven</w:t>
      </w:r>
      <w:r>
        <w:rPr>
          <w:rFonts w:ascii="Arial" w:hAnsi="Arial" w:cs="Arial"/>
        </w:rPr>
        <w:t xml:space="preserve"> rheumatologists across England </w:t>
      </w:r>
      <w:r w:rsidR="00A72ACA">
        <w:rPr>
          <w:rFonts w:ascii="Arial" w:hAnsi="Arial" w:cs="Arial"/>
        </w:rPr>
        <w:t xml:space="preserve">were interviewed </w:t>
      </w:r>
      <w:r>
        <w:rPr>
          <w:rFonts w:ascii="Arial" w:hAnsi="Arial" w:cs="Arial"/>
        </w:rPr>
        <w:t xml:space="preserve">to </w:t>
      </w:r>
      <w:r w:rsidR="00F623E4">
        <w:rPr>
          <w:rFonts w:ascii="Arial" w:hAnsi="Arial" w:cs="Arial"/>
        </w:rPr>
        <w:t xml:space="preserve">learn more about </w:t>
      </w:r>
      <w:r w:rsidR="008F3C48">
        <w:rPr>
          <w:rFonts w:ascii="Arial" w:hAnsi="Arial" w:cs="Arial"/>
        </w:rPr>
        <w:t>the</w:t>
      </w:r>
      <w:r w:rsidR="003404BA">
        <w:rPr>
          <w:rFonts w:ascii="Arial" w:hAnsi="Arial" w:cs="Arial"/>
        </w:rPr>
        <w:t>se</w:t>
      </w:r>
      <w:r w:rsidR="008F3C48">
        <w:rPr>
          <w:rFonts w:ascii="Arial" w:hAnsi="Arial" w:cs="Arial"/>
        </w:rPr>
        <w:t xml:space="preserve"> </w:t>
      </w:r>
      <w:r w:rsidR="00334C17">
        <w:rPr>
          <w:rFonts w:ascii="Arial" w:hAnsi="Arial" w:cs="Arial"/>
        </w:rPr>
        <w:t xml:space="preserve">different </w:t>
      </w:r>
      <w:r w:rsidR="008F3C48">
        <w:rPr>
          <w:rFonts w:ascii="Arial" w:hAnsi="Arial" w:cs="Arial"/>
        </w:rPr>
        <w:t xml:space="preserve">factors that </w:t>
      </w:r>
      <w:r w:rsidR="00D91C9E">
        <w:rPr>
          <w:rFonts w:ascii="Arial" w:hAnsi="Arial" w:cs="Arial"/>
        </w:rPr>
        <w:t xml:space="preserve">influence </w:t>
      </w:r>
      <w:r>
        <w:rPr>
          <w:rFonts w:ascii="Arial" w:hAnsi="Arial" w:cs="Arial"/>
        </w:rPr>
        <w:t xml:space="preserve">decisions when prescribing anti-TNF treatments for rheumatoid arthritis. </w:t>
      </w:r>
      <w:r w:rsidR="003404BA">
        <w:rPr>
          <w:rFonts w:ascii="Arial" w:hAnsi="Arial" w:cs="Arial"/>
        </w:rPr>
        <w:t xml:space="preserve">The rheumatologists described 13 </w:t>
      </w:r>
      <w:r w:rsidR="00DB5225">
        <w:rPr>
          <w:rFonts w:ascii="Arial" w:hAnsi="Arial" w:cs="Arial"/>
        </w:rPr>
        <w:t xml:space="preserve">factors that may affect their </w:t>
      </w:r>
      <w:r w:rsidR="00AC03AD">
        <w:rPr>
          <w:rFonts w:ascii="Arial" w:hAnsi="Arial" w:cs="Arial"/>
        </w:rPr>
        <w:t>deci</w:t>
      </w:r>
      <w:r w:rsidR="00F23FF3">
        <w:rPr>
          <w:rFonts w:ascii="Arial" w:hAnsi="Arial" w:cs="Arial"/>
        </w:rPr>
        <w:t>sion</w:t>
      </w:r>
      <w:r w:rsidR="00B377EE">
        <w:rPr>
          <w:rFonts w:ascii="Arial" w:hAnsi="Arial" w:cs="Arial"/>
        </w:rPr>
        <w:t xml:space="preserve">s. </w:t>
      </w:r>
      <w:r w:rsidR="004B0B5C">
        <w:rPr>
          <w:rFonts w:ascii="Arial" w:hAnsi="Arial" w:cs="Arial"/>
        </w:rPr>
        <w:t xml:space="preserve">These were grouped </w:t>
      </w:r>
      <w:r w:rsidR="002454A4">
        <w:rPr>
          <w:rFonts w:ascii="Arial" w:hAnsi="Arial" w:cs="Arial"/>
        </w:rPr>
        <w:t xml:space="preserve">into three categories: (1) the external environment (influences outside of a hospital); (2) internal hospital influences; and (3) individual-level influences (at the level of a consultation or appointment). </w:t>
      </w:r>
    </w:p>
    <w:p w:rsidR="00421E2F" w:rsidRDefault="00126020" w:rsidP="00F3023F">
      <w:pPr>
        <w:spacing w:line="360" w:lineRule="auto"/>
        <w:jc w:val="both"/>
        <w:outlineLvl w:val="0"/>
        <w:rPr>
          <w:rFonts w:ascii="Arial" w:hAnsi="Arial" w:cs="Arial"/>
        </w:rPr>
      </w:pPr>
      <w:r>
        <w:rPr>
          <w:rFonts w:ascii="Arial" w:hAnsi="Arial" w:cs="Arial"/>
        </w:rPr>
        <w:t>The factors are</w:t>
      </w:r>
      <w:r w:rsidR="00E574C7">
        <w:rPr>
          <w:rFonts w:ascii="Arial" w:hAnsi="Arial" w:cs="Arial"/>
        </w:rPr>
        <w:t xml:space="preserve"> summarised in the table </w:t>
      </w:r>
      <w:r>
        <w:rPr>
          <w:rFonts w:ascii="Arial" w:hAnsi="Arial" w:cs="Arial"/>
        </w:rPr>
        <w:t>below.</w:t>
      </w:r>
    </w:p>
    <w:tbl>
      <w:tblPr>
        <w:tblStyle w:val="TableGrid"/>
        <w:tblpPr w:leftFromText="180" w:rightFromText="180" w:vertAnchor="text" w:horzAnchor="margin" w:tblpY="46"/>
        <w:tblW w:w="8642" w:type="dxa"/>
        <w:tblLook w:val="04A0"/>
      </w:tblPr>
      <w:tblGrid>
        <w:gridCol w:w="3397"/>
        <w:gridCol w:w="5245"/>
      </w:tblGrid>
      <w:tr w:rsidR="00CC1A77" w:rsidTr="00CC1A77">
        <w:trPr>
          <w:trHeight w:val="999"/>
        </w:trPr>
        <w:tc>
          <w:tcPr>
            <w:tcW w:w="3397" w:type="dxa"/>
          </w:tcPr>
          <w:p w:rsidR="00CC1A77" w:rsidRDefault="00CC1A77" w:rsidP="00CC1A77">
            <w:pPr>
              <w:pStyle w:val="NoSpacing"/>
              <w:numPr>
                <w:ilvl w:val="0"/>
                <w:numId w:val="5"/>
              </w:numPr>
              <w:rPr>
                <w:rFonts w:ascii="Arial" w:hAnsi="Arial" w:cs="Arial"/>
              </w:rPr>
            </w:pPr>
            <w:r>
              <w:t>The e</w:t>
            </w:r>
            <w:r w:rsidRPr="003D0D67">
              <w:t xml:space="preserve">xternal </w:t>
            </w:r>
            <w:r>
              <w:t>e</w:t>
            </w:r>
            <w:bookmarkStart w:id="0" w:name="_GoBack"/>
            <w:bookmarkEnd w:id="0"/>
            <w:r w:rsidRPr="003D0D67">
              <w:t>nvironment</w:t>
            </w:r>
          </w:p>
        </w:tc>
        <w:tc>
          <w:tcPr>
            <w:tcW w:w="5245" w:type="dxa"/>
          </w:tcPr>
          <w:p w:rsidR="00CC1A77" w:rsidRDefault="00CC1A77" w:rsidP="00CC1A77">
            <w:pPr>
              <w:pStyle w:val="NoSpacing"/>
              <w:rPr>
                <w:rFonts w:ascii="Arial" w:hAnsi="Arial" w:cs="Arial"/>
              </w:rPr>
            </w:pPr>
            <w:r>
              <w:t>NICE Recommendations</w:t>
            </w:r>
            <w:r>
              <w:br/>
              <w:t>Clinical Commissioning Groups</w:t>
            </w:r>
            <w:r>
              <w:br/>
              <w:t>Cost Pressures</w:t>
            </w:r>
            <w:r>
              <w:br/>
              <w:t>Published Clinical Evidence</w:t>
            </w:r>
            <w:r>
              <w:br/>
              <w:t>Colleagues in Different Hospitals</w:t>
            </w:r>
            <w:r>
              <w:br/>
              <w:t>Pharmaceutical Industry</w:t>
            </w:r>
          </w:p>
        </w:tc>
      </w:tr>
      <w:tr w:rsidR="00CC1A77" w:rsidTr="00CC1A77">
        <w:trPr>
          <w:trHeight w:val="999"/>
        </w:trPr>
        <w:tc>
          <w:tcPr>
            <w:tcW w:w="3397" w:type="dxa"/>
          </w:tcPr>
          <w:p w:rsidR="00CC1A77" w:rsidRDefault="00CC1A77" w:rsidP="00CC1A77">
            <w:pPr>
              <w:pStyle w:val="NoSpacing"/>
              <w:numPr>
                <w:ilvl w:val="0"/>
                <w:numId w:val="5"/>
              </w:numPr>
              <w:rPr>
                <w:rFonts w:ascii="Arial" w:hAnsi="Arial" w:cs="Arial"/>
              </w:rPr>
            </w:pPr>
            <w:r w:rsidRPr="003D0D67">
              <w:lastRenderedPageBreak/>
              <w:t xml:space="preserve">Internal </w:t>
            </w:r>
            <w:r>
              <w:t>h</w:t>
            </w:r>
            <w:r w:rsidRPr="003D0D67">
              <w:t>ospital</w:t>
            </w:r>
            <w:r>
              <w:t xml:space="preserve"> influences</w:t>
            </w:r>
          </w:p>
        </w:tc>
        <w:tc>
          <w:tcPr>
            <w:tcW w:w="5245" w:type="dxa"/>
          </w:tcPr>
          <w:p w:rsidR="00CC1A77" w:rsidRDefault="00CC1A77" w:rsidP="00CC1A77">
            <w:pPr>
              <w:pStyle w:val="NoSpacing"/>
              <w:rPr>
                <w:rFonts w:ascii="Arial" w:hAnsi="Arial" w:cs="Arial"/>
              </w:rPr>
            </w:pPr>
            <w:r>
              <w:t>Systems to Promote Compliance with NICE</w:t>
            </w:r>
            <w:r w:rsidRPr="003D0D67">
              <w:rPr>
                <w:vertAlign w:val="superscript"/>
              </w:rPr>
              <w:t xml:space="preserve">1 </w:t>
            </w:r>
            <w:r>
              <w:t>Recommendations</w:t>
            </w:r>
            <w:r>
              <w:br/>
              <w:t>Internal Treatment Pathways</w:t>
            </w:r>
            <w:r>
              <w:br/>
              <w:t>Hospital Culture</w:t>
            </w:r>
          </w:p>
        </w:tc>
      </w:tr>
      <w:tr w:rsidR="00CC1A77" w:rsidTr="00CC1A77">
        <w:trPr>
          <w:trHeight w:val="984"/>
        </w:trPr>
        <w:tc>
          <w:tcPr>
            <w:tcW w:w="3397" w:type="dxa"/>
          </w:tcPr>
          <w:p w:rsidR="00CC1A77" w:rsidRDefault="00CC1A77" w:rsidP="00CC1A77">
            <w:pPr>
              <w:pStyle w:val="NoSpacing"/>
              <w:numPr>
                <w:ilvl w:val="0"/>
                <w:numId w:val="5"/>
              </w:numPr>
              <w:rPr>
                <w:rFonts w:ascii="Arial" w:hAnsi="Arial" w:cs="Arial"/>
              </w:rPr>
            </w:pPr>
            <w:r w:rsidRPr="003D0D67">
              <w:t>Individual-level</w:t>
            </w:r>
            <w:r>
              <w:t xml:space="preserve"> influences</w:t>
            </w:r>
          </w:p>
        </w:tc>
        <w:tc>
          <w:tcPr>
            <w:tcW w:w="5245" w:type="dxa"/>
          </w:tcPr>
          <w:p w:rsidR="00CC1A77" w:rsidRDefault="00CC1A77" w:rsidP="00CC1A77">
            <w:pPr>
              <w:pStyle w:val="NoSpacing"/>
              <w:rPr>
                <w:rFonts w:ascii="Arial" w:hAnsi="Arial" w:cs="Arial"/>
              </w:rPr>
            </w:pPr>
            <w:r>
              <w:t>Patient Influence</w:t>
            </w:r>
            <w:r>
              <w:br/>
              <w:t>Personal choice based on preference/experience</w:t>
            </w:r>
            <w:r>
              <w:br/>
              <w:t>Perception of DAS28</w:t>
            </w:r>
            <w:r w:rsidRPr="003D0D67">
              <w:rPr>
                <w:vertAlign w:val="superscript"/>
              </w:rPr>
              <w:t>3</w:t>
            </w:r>
          </w:p>
        </w:tc>
      </w:tr>
    </w:tbl>
    <w:p w:rsidR="00CC1A77" w:rsidRDefault="00CC1A77" w:rsidP="00124948">
      <w:pPr>
        <w:spacing w:after="0" w:line="240" w:lineRule="auto"/>
        <w:rPr>
          <w:rFonts w:ascii="Segoe UI" w:eastAsia="Times New Roman" w:hAnsi="Segoe UI" w:cs="Segoe UI"/>
          <w:color w:val="000000"/>
          <w:sz w:val="20"/>
          <w:szCs w:val="20"/>
          <w:shd w:val="clear" w:color="auto" w:fill="FFFFFF"/>
          <w:lang w:eastAsia="en-GB"/>
        </w:rPr>
      </w:pPr>
    </w:p>
    <w:p w:rsidR="00124948" w:rsidRPr="00124948" w:rsidRDefault="00124948" w:rsidP="00124948">
      <w:pPr>
        <w:spacing w:after="0" w:line="240" w:lineRule="auto"/>
        <w:rPr>
          <w:rFonts w:ascii="Calibri" w:eastAsia="Times New Roman" w:hAnsi="Calibri" w:cs="Times New Roman"/>
          <w:color w:val="000000"/>
          <w:sz w:val="21"/>
          <w:szCs w:val="21"/>
          <w:lang w:eastAsia="en-GB"/>
        </w:rPr>
      </w:pPr>
      <w:r w:rsidRPr="00124948">
        <w:rPr>
          <w:rFonts w:ascii="Segoe UI" w:eastAsia="Times New Roman" w:hAnsi="Segoe UI" w:cs="Segoe UI"/>
          <w:color w:val="000000"/>
          <w:sz w:val="20"/>
          <w:szCs w:val="20"/>
          <w:shd w:val="clear" w:color="auto" w:fill="FFFFFF"/>
          <w:lang w:eastAsia="en-GB"/>
        </w:rPr>
        <w:t>Inte</w:t>
      </w:r>
      <w:r w:rsidR="001B53C1">
        <w:rPr>
          <w:rFonts w:ascii="Segoe UI" w:eastAsia="Times New Roman" w:hAnsi="Segoe UI" w:cs="Segoe UI"/>
          <w:color w:val="000000"/>
          <w:sz w:val="20"/>
          <w:szCs w:val="20"/>
          <w:shd w:val="clear" w:color="auto" w:fill="FFFFFF"/>
          <w:lang w:eastAsia="en-GB"/>
        </w:rPr>
        <w:t>restingly some of the rheumatologists</w:t>
      </w:r>
      <w:r w:rsidRPr="00124948">
        <w:rPr>
          <w:rFonts w:ascii="Segoe UI" w:eastAsia="Times New Roman" w:hAnsi="Segoe UI" w:cs="Segoe UI"/>
          <w:color w:val="000000"/>
          <w:sz w:val="20"/>
          <w:szCs w:val="20"/>
          <w:shd w:val="clear" w:color="auto" w:fill="FFFFFF"/>
          <w:lang w:eastAsia="en-GB"/>
        </w:rPr>
        <w:t xml:space="preserve"> described ways to perform the DAS assessment that might enable more patients</w:t>
      </w:r>
      <w:r w:rsidR="001B53C1">
        <w:rPr>
          <w:rFonts w:ascii="Segoe UI" w:eastAsia="Times New Roman" w:hAnsi="Segoe UI" w:cs="Segoe UI"/>
          <w:color w:val="000000"/>
          <w:sz w:val="20"/>
          <w:szCs w:val="20"/>
          <w:shd w:val="clear" w:color="auto" w:fill="FFFFFF"/>
          <w:lang w:eastAsia="en-GB"/>
        </w:rPr>
        <w:t xml:space="preserve"> to receive biologic therapies. </w:t>
      </w:r>
      <w:r w:rsidRPr="00124948">
        <w:rPr>
          <w:rFonts w:ascii="Segoe UI" w:eastAsia="Times New Roman" w:hAnsi="Segoe UI" w:cs="Segoe UI"/>
          <w:color w:val="000000"/>
          <w:sz w:val="20"/>
          <w:szCs w:val="20"/>
          <w:shd w:val="clear" w:color="auto" w:fill="FFFFFF"/>
          <w:lang w:eastAsia="en-GB"/>
        </w:rPr>
        <w:t> </w:t>
      </w:r>
    </w:p>
    <w:p w:rsidR="00124948" w:rsidRPr="00124948" w:rsidRDefault="00124948" w:rsidP="00124948">
      <w:pPr>
        <w:spacing w:after="0" w:line="240" w:lineRule="auto"/>
        <w:rPr>
          <w:rFonts w:ascii="Times New Roman" w:eastAsia="Times New Roman" w:hAnsi="Times New Roman" w:cs="Times New Roman"/>
          <w:sz w:val="24"/>
          <w:szCs w:val="24"/>
          <w:lang w:eastAsia="en-GB"/>
        </w:rPr>
      </w:pPr>
    </w:p>
    <w:p w:rsidR="00E03BE8" w:rsidRDefault="00126020" w:rsidP="00683D9B">
      <w:pPr>
        <w:spacing w:line="360" w:lineRule="auto"/>
        <w:jc w:val="both"/>
        <w:rPr>
          <w:rFonts w:ascii="Arial" w:hAnsi="Arial" w:cs="Arial"/>
        </w:rPr>
      </w:pPr>
      <w:r>
        <w:rPr>
          <w:rFonts w:ascii="Arial" w:hAnsi="Arial" w:cs="Arial"/>
        </w:rPr>
        <w:t>These 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04"/>
        <w:gridCol w:w="7171"/>
      </w:tblGrid>
      <w:tr w:rsidR="00F67241" w:rsidRPr="00F67241" w:rsidTr="00421E2F">
        <w:trPr>
          <w:trHeight w:val="364"/>
          <w:tblHeader/>
        </w:trPr>
        <w:tc>
          <w:tcPr>
            <w:tcW w:w="0" w:type="auto"/>
            <w:tcMar>
              <w:top w:w="48" w:type="dxa"/>
              <w:left w:w="96" w:type="dxa"/>
              <w:bottom w:w="48" w:type="dxa"/>
              <w:right w:w="96" w:type="dxa"/>
            </w:tcMar>
            <w:hideMark/>
          </w:tcPr>
          <w:p w:rsidR="00F67241" w:rsidRPr="00421E2F" w:rsidRDefault="00F67241" w:rsidP="00421E2F">
            <w:pPr>
              <w:pStyle w:val="NoSpacing"/>
              <w:jc w:val="center"/>
              <w:rPr>
                <w:rFonts w:ascii="Times New Roman" w:hAnsi="Times New Roman" w:cs="Times New Roman"/>
                <w:b/>
                <w:bCs/>
                <w:sz w:val="20"/>
                <w:szCs w:val="20"/>
                <w:lang w:eastAsia="en-GB"/>
              </w:rPr>
            </w:pPr>
            <w:r w:rsidRPr="00421E2F">
              <w:rPr>
                <w:rFonts w:ascii="Times New Roman" w:hAnsi="Times New Roman" w:cs="Times New Roman"/>
                <w:b/>
                <w:bCs/>
                <w:sz w:val="20"/>
                <w:szCs w:val="20"/>
                <w:lang w:eastAsia="en-GB"/>
              </w:rPr>
              <w:t>Number</w:t>
            </w:r>
          </w:p>
        </w:tc>
        <w:tc>
          <w:tcPr>
            <w:tcW w:w="7171" w:type="dxa"/>
            <w:tcMar>
              <w:top w:w="48" w:type="dxa"/>
              <w:left w:w="96" w:type="dxa"/>
              <w:bottom w:w="48" w:type="dxa"/>
              <w:right w:w="96" w:type="dxa"/>
            </w:tcMar>
            <w:hideMark/>
          </w:tcPr>
          <w:p w:rsidR="00F67241" w:rsidRPr="00421E2F" w:rsidRDefault="00126020" w:rsidP="00421E2F">
            <w:pPr>
              <w:pStyle w:val="NoSpacing"/>
              <w:jc w:val="center"/>
              <w:rPr>
                <w:rFonts w:ascii="Times New Roman" w:hAnsi="Times New Roman" w:cs="Times New Roman"/>
                <w:b/>
                <w:bCs/>
                <w:sz w:val="20"/>
                <w:szCs w:val="20"/>
                <w:lang w:eastAsia="en-GB"/>
              </w:rPr>
            </w:pPr>
            <w:r w:rsidRPr="00421E2F">
              <w:rPr>
                <w:rFonts w:ascii="Times New Roman" w:hAnsi="Times New Roman" w:cs="Times New Roman"/>
                <w:b/>
                <w:bCs/>
                <w:sz w:val="20"/>
                <w:szCs w:val="20"/>
                <w:lang w:eastAsia="en-GB"/>
              </w:rPr>
              <w:t>Ways to</w:t>
            </w:r>
            <w:r w:rsidR="00F67241" w:rsidRPr="00421E2F">
              <w:rPr>
                <w:rFonts w:ascii="Times New Roman" w:hAnsi="Times New Roman" w:cs="Times New Roman"/>
                <w:b/>
                <w:bCs/>
                <w:sz w:val="20"/>
                <w:szCs w:val="20"/>
                <w:lang w:eastAsia="en-GB"/>
              </w:rPr>
              <w:t xml:space="preserve"> Manipulate the DAS28 Assessment</w:t>
            </w:r>
          </w:p>
        </w:tc>
      </w:tr>
      <w:tr w:rsidR="00F67241" w:rsidRPr="00F67241" w:rsidTr="00421E2F">
        <w:trPr>
          <w:trHeight w:val="491"/>
        </w:trPr>
        <w:tc>
          <w:tcPr>
            <w:tcW w:w="0" w:type="auto"/>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1</w:t>
            </w:r>
          </w:p>
        </w:tc>
        <w:tc>
          <w:tcPr>
            <w:tcW w:w="7171" w:type="dxa"/>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 xml:space="preserve">Measure disease activity using a different </w:t>
            </w:r>
            <w:r w:rsidR="00126020">
              <w:rPr>
                <w:lang w:eastAsia="en-GB"/>
              </w:rPr>
              <w:t>tool</w:t>
            </w:r>
            <w:r w:rsidR="00126020" w:rsidRPr="00F67241">
              <w:rPr>
                <w:lang w:eastAsia="en-GB"/>
              </w:rPr>
              <w:t xml:space="preserve"> </w:t>
            </w:r>
            <w:r w:rsidRPr="00F67241">
              <w:rPr>
                <w:lang w:eastAsia="en-GB"/>
              </w:rPr>
              <w:t>(such as RAPID3) and convert to DAS28 scores.</w:t>
            </w:r>
          </w:p>
        </w:tc>
      </w:tr>
      <w:tr w:rsidR="00F67241" w:rsidRPr="00F67241" w:rsidTr="00421E2F">
        <w:trPr>
          <w:trHeight w:val="770"/>
        </w:trPr>
        <w:tc>
          <w:tcPr>
            <w:tcW w:w="0" w:type="auto"/>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2</w:t>
            </w:r>
          </w:p>
        </w:tc>
        <w:tc>
          <w:tcPr>
            <w:tcW w:w="7171" w:type="dxa"/>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Claim the patient has psoriatic arthritis because fewer active joints are required to prescribe anti-TNF therapy</w:t>
            </w:r>
            <w:r w:rsidR="00126020">
              <w:rPr>
                <w:lang w:eastAsia="en-GB"/>
              </w:rPr>
              <w:t>,</w:t>
            </w:r>
            <w:r w:rsidRPr="00F67241">
              <w:rPr>
                <w:lang w:eastAsia="en-GB"/>
              </w:rPr>
              <w:t xml:space="preserve"> compared with </w:t>
            </w:r>
            <w:r w:rsidR="00126020">
              <w:rPr>
                <w:lang w:eastAsia="en-GB"/>
              </w:rPr>
              <w:t>rheumatoid arthritis.</w:t>
            </w:r>
          </w:p>
        </w:tc>
      </w:tr>
      <w:tr w:rsidR="00F67241" w:rsidRPr="00F67241" w:rsidTr="00421E2F">
        <w:trPr>
          <w:trHeight w:val="720"/>
        </w:trPr>
        <w:tc>
          <w:tcPr>
            <w:tcW w:w="0" w:type="auto"/>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3</w:t>
            </w:r>
          </w:p>
        </w:tc>
        <w:tc>
          <w:tcPr>
            <w:tcW w:w="7171" w:type="dxa"/>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Only perform one DAS28 assessment.</w:t>
            </w:r>
          </w:p>
        </w:tc>
      </w:tr>
      <w:tr w:rsidR="00F67241" w:rsidRPr="00F67241" w:rsidTr="00421E2F">
        <w:trPr>
          <w:trHeight w:val="720"/>
        </w:trPr>
        <w:tc>
          <w:tcPr>
            <w:tcW w:w="0" w:type="auto"/>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4</w:t>
            </w:r>
          </w:p>
        </w:tc>
        <w:tc>
          <w:tcPr>
            <w:tcW w:w="7171" w:type="dxa"/>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Stop a patient’s steroids to increase their DAS28 score.</w:t>
            </w:r>
          </w:p>
        </w:tc>
      </w:tr>
      <w:tr w:rsidR="00F67241" w:rsidRPr="00F67241" w:rsidTr="00421E2F">
        <w:trPr>
          <w:trHeight w:val="720"/>
        </w:trPr>
        <w:tc>
          <w:tcPr>
            <w:tcW w:w="0" w:type="auto"/>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5</w:t>
            </w:r>
          </w:p>
        </w:tc>
        <w:tc>
          <w:tcPr>
            <w:tcW w:w="7171" w:type="dxa"/>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Perform a DAS28 assessment when the patient has a flare in disease activity.</w:t>
            </w:r>
          </w:p>
        </w:tc>
      </w:tr>
      <w:tr w:rsidR="00F67241" w:rsidRPr="00F67241" w:rsidTr="00421E2F">
        <w:trPr>
          <w:trHeight w:val="720"/>
        </w:trPr>
        <w:tc>
          <w:tcPr>
            <w:tcW w:w="0" w:type="auto"/>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6</w:t>
            </w:r>
          </w:p>
        </w:tc>
        <w:tc>
          <w:tcPr>
            <w:tcW w:w="7171" w:type="dxa"/>
            <w:tcMar>
              <w:top w:w="48" w:type="dxa"/>
              <w:left w:w="96" w:type="dxa"/>
              <w:bottom w:w="48" w:type="dxa"/>
              <w:right w:w="96" w:type="dxa"/>
            </w:tcMar>
            <w:hideMark/>
          </w:tcPr>
          <w:p w:rsidR="00F67241" w:rsidRPr="00F67241" w:rsidRDefault="00F67241" w:rsidP="00421E2F">
            <w:pPr>
              <w:pStyle w:val="NoSpacing"/>
              <w:rPr>
                <w:lang w:eastAsia="en-GB"/>
              </w:rPr>
            </w:pPr>
            <w:r w:rsidRPr="00F67241">
              <w:rPr>
                <w:lang w:eastAsia="en-GB"/>
              </w:rPr>
              <w:t>Increase the frequency of DAS28 assessments to increase the likelihood of measuring two scores greater than 5.1.</w:t>
            </w:r>
          </w:p>
        </w:tc>
      </w:tr>
    </w:tbl>
    <w:p w:rsidR="00F67241" w:rsidRDefault="00F67241" w:rsidP="00683D9B">
      <w:pPr>
        <w:spacing w:line="360" w:lineRule="auto"/>
        <w:jc w:val="both"/>
        <w:rPr>
          <w:rFonts w:ascii="Arial" w:hAnsi="Arial" w:cs="Arial"/>
        </w:rPr>
      </w:pPr>
    </w:p>
    <w:p w:rsidR="001B53C1" w:rsidRDefault="00C54D11" w:rsidP="00683D9B">
      <w:pPr>
        <w:spacing w:line="360" w:lineRule="auto"/>
        <w:jc w:val="both"/>
        <w:rPr>
          <w:rFonts w:ascii="Arial" w:hAnsi="Arial" w:cs="Arial"/>
        </w:rPr>
      </w:pPr>
      <w:r>
        <w:rPr>
          <w:rFonts w:ascii="Arial" w:hAnsi="Arial" w:cs="Arial"/>
        </w:rPr>
        <w:t xml:space="preserve">The importance of </w:t>
      </w:r>
      <w:r w:rsidR="007C1672">
        <w:rPr>
          <w:rFonts w:ascii="Arial" w:hAnsi="Arial" w:cs="Arial"/>
        </w:rPr>
        <w:t>each factor</w:t>
      </w:r>
      <w:r>
        <w:rPr>
          <w:rFonts w:ascii="Arial" w:hAnsi="Arial" w:cs="Arial"/>
        </w:rPr>
        <w:t xml:space="preserve"> seemed </w:t>
      </w:r>
      <w:r w:rsidR="0005681E">
        <w:rPr>
          <w:rFonts w:ascii="Arial" w:hAnsi="Arial" w:cs="Arial"/>
        </w:rPr>
        <w:t xml:space="preserve">to </w:t>
      </w:r>
      <w:r w:rsidR="00AF69B7">
        <w:rPr>
          <w:rFonts w:ascii="Arial" w:hAnsi="Arial" w:cs="Arial"/>
        </w:rPr>
        <w:t>be different</w:t>
      </w:r>
      <w:r w:rsidR="0005681E">
        <w:rPr>
          <w:rFonts w:ascii="Arial" w:hAnsi="Arial" w:cs="Arial"/>
        </w:rPr>
        <w:t xml:space="preserve"> across the country. </w:t>
      </w:r>
      <w:r w:rsidR="00727632">
        <w:rPr>
          <w:rFonts w:ascii="Arial" w:hAnsi="Arial" w:cs="Arial"/>
        </w:rPr>
        <w:t xml:space="preserve">The rheumatologists also disagreed on whether they viewed national </w:t>
      </w:r>
      <w:r w:rsidR="00570261">
        <w:rPr>
          <w:rFonts w:ascii="Arial" w:hAnsi="Arial" w:cs="Arial"/>
        </w:rPr>
        <w:t xml:space="preserve">prescribing </w:t>
      </w:r>
      <w:r w:rsidR="00727632">
        <w:rPr>
          <w:rFonts w:ascii="Arial" w:hAnsi="Arial" w:cs="Arial"/>
        </w:rPr>
        <w:t xml:space="preserve">recommendations as advisory or compulsory. More understanding of these different factors of influence can help </w:t>
      </w:r>
      <w:r w:rsidR="007C1672">
        <w:rPr>
          <w:rFonts w:ascii="Arial" w:hAnsi="Arial" w:cs="Arial"/>
        </w:rPr>
        <w:t>explain</w:t>
      </w:r>
      <w:r w:rsidR="00727632">
        <w:rPr>
          <w:rFonts w:ascii="Arial" w:hAnsi="Arial" w:cs="Arial"/>
        </w:rPr>
        <w:t xml:space="preserve"> why some people around England may receive different treatments for their rheumatoid arthritis.  </w:t>
      </w:r>
    </w:p>
    <w:p w:rsidR="003D0D67" w:rsidRDefault="003D0D67" w:rsidP="00683D9B">
      <w:pPr>
        <w:spacing w:line="360" w:lineRule="auto"/>
        <w:jc w:val="both"/>
        <w:rPr>
          <w:rFonts w:ascii="Arial" w:hAnsi="Arial" w:cs="Arial"/>
        </w:rPr>
      </w:pPr>
    </w:p>
    <w:p w:rsidR="001B53C1" w:rsidRPr="003D0D67" w:rsidRDefault="003D0D67" w:rsidP="003D0D67">
      <w:pPr>
        <w:rPr>
          <w:rFonts w:ascii="Arial" w:eastAsia="Times New Roman" w:hAnsi="Arial" w:cs="Arial"/>
          <w:lang w:eastAsia="en-GB"/>
        </w:rPr>
      </w:pPr>
      <w:proofErr w:type="gramStart"/>
      <w:r w:rsidRPr="003D0D67">
        <w:rPr>
          <w:rFonts w:ascii="Arial" w:hAnsi="Arial" w:cs="Arial"/>
          <w:vertAlign w:val="superscript"/>
        </w:rPr>
        <w:t>1</w:t>
      </w:r>
      <w:r>
        <w:rPr>
          <w:rFonts w:ascii="Arial" w:hAnsi="Arial" w:cs="Arial"/>
        </w:rPr>
        <w:t>.</w:t>
      </w:r>
      <w:r w:rsidR="001B53C1" w:rsidRPr="003D0D67">
        <w:rPr>
          <w:rFonts w:ascii="Arial" w:hAnsi="Arial" w:cs="Arial"/>
        </w:rPr>
        <w:t>NICE</w:t>
      </w:r>
      <w:proofErr w:type="gramEnd"/>
      <w:r w:rsidR="001B53C1" w:rsidRPr="003D0D67">
        <w:rPr>
          <w:rFonts w:ascii="Arial" w:hAnsi="Arial" w:cs="Arial"/>
        </w:rPr>
        <w:t xml:space="preserve"> – </w:t>
      </w:r>
      <w:r w:rsidR="001B53C1" w:rsidRPr="003D0D67">
        <w:rPr>
          <w:rFonts w:ascii="Arial" w:eastAsia="Times New Roman" w:hAnsi="Arial" w:cs="Arial"/>
          <w:color w:val="0E0E0E"/>
          <w:shd w:val="clear" w:color="auto" w:fill="FFFFFF"/>
          <w:lang w:eastAsia="en-GB"/>
        </w:rPr>
        <w:t>The National Institute for Health and Care Excellence (NICE) provides national guidance and advice to improve health and social care</w:t>
      </w:r>
    </w:p>
    <w:p w:rsidR="001B53C1" w:rsidRPr="003D0D67" w:rsidRDefault="003D0D67" w:rsidP="003D0D67">
      <w:pPr>
        <w:rPr>
          <w:rFonts w:ascii="Segoe UI" w:hAnsi="Segoe UI" w:cs="Segoe UI"/>
          <w:color w:val="202A30"/>
          <w:sz w:val="27"/>
          <w:szCs w:val="27"/>
        </w:rPr>
      </w:pPr>
      <w:r w:rsidRPr="003D0D67">
        <w:rPr>
          <w:rFonts w:ascii="Arial" w:hAnsi="Arial" w:cs="Arial"/>
          <w:vertAlign w:val="superscript"/>
        </w:rPr>
        <w:t>2.</w:t>
      </w:r>
      <w:r>
        <w:rPr>
          <w:rFonts w:ascii="Arial" w:hAnsi="Arial" w:cs="Arial"/>
        </w:rPr>
        <w:t xml:space="preserve"> </w:t>
      </w:r>
      <w:r w:rsidR="001B53C1" w:rsidRPr="003D0D67">
        <w:rPr>
          <w:rFonts w:ascii="Arial" w:hAnsi="Arial" w:cs="Arial"/>
        </w:rPr>
        <w:t>Clinical Commissioning Groups</w:t>
      </w:r>
      <w:r w:rsidRPr="003D0D67">
        <w:rPr>
          <w:rFonts w:ascii="Arial" w:hAnsi="Arial" w:cs="Arial"/>
          <w:vertAlign w:val="superscript"/>
        </w:rPr>
        <w:t>2</w:t>
      </w:r>
      <w:r w:rsidR="001B53C1" w:rsidRPr="003D0D67">
        <w:rPr>
          <w:rFonts w:ascii="Arial" w:hAnsi="Arial" w:cs="Arial"/>
        </w:rPr>
        <w:t xml:space="preserve"> (CCGs) commission most of the hospital and community NHS services in the local areas for which they are responsible.</w:t>
      </w:r>
      <w:r w:rsidR="00815B90" w:rsidRPr="003D0D67">
        <w:rPr>
          <w:rFonts w:ascii="Arial" w:hAnsi="Arial" w:cs="Arial"/>
        </w:rPr>
        <w:t xml:space="preserve"> They decide what services are needed and how they will be </w:t>
      </w:r>
      <w:r w:rsidRPr="003D0D67">
        <w:rPr>
          <w:rFonts w:ascii="Arial" w:hAnsi="Arial" w:cs="Arial"/>
        </w:rPr>
        <w:t>delivered</w:t>
      </w:r>
      <w:r w:rsidR="00815B90" w:rsidRPr="003D0D67">
        <w:rPr>
          <w:rFonts w:ascii="Arial" w:hAnsi="Arial" w:cs="Arial"/>
        </w:rPr>
        <w:t>.</w:t>
      </w:r>
      <w:r w:rsidR="00815B90">
        <w:rPr>
          <w:rFonts w:ascii="Segoe UI" w:hAnsi="Segoe UI" w:cs="Segoe UI"/>
          <w:color w:val="202A30"/>
          <w:sz w:val="27"/>
          <w:szCs w:val="27"/>
        </w:rPr>
        <w:t xml:space="preserve"> </w:t>
      </w:r>
    </w:p>
    <w:p w:rsidR="00EA010D" w:rsidRPr="003D0D67" w:rsidRDefault="003D0D67" w:rsidP="003D0D67">
      <w:pPr>
        <w:rPr>
          <w:rFonts w:ascii="Arial" w:hAnsi="Arial" w:cs="Arial"/>
        </w:rPr>
      </w:pPr>
      <w:r w:rsidRPr="003D0D67">
        <w:rPr>
          <w:rFonts w:ascii="Arial" w:hAnsi="Arial" w:cs="Arial"/>
          <w:vertAlign w:val="superscript"/>
        </w:rPr>
        <w:lastRenderedPageBreak/>
        <w:t>3.</w:t>
      </w:r>
      <w:r>
        <w:rPr>
          <w:rFonts w:ascii="Arial" w:hAnsi="Arial" w:cs="Arial"/>
        </w:rPr>
        <w:t xml:space="preserve"> </w:t>
      </w:r>
      <w:r w:rsidR="001B53C1" w:rsidRPr="003D0D67">
        <w:rPr>
          <w:rFonts w:ascii="Arial" w:hAnsi="Arial" w:cs="Arial"/>
        </w:rPr>
        <w:t xml:space="preserve">DAS28 </w:t>
      </w:r>
      <w:r w:rsidR="00815B90" w:rsidRPr="003D0D67">
        <w:rPr>
          <w:rFonts w:ascii="Arial" w:hAnsi="Arial" w:cs="Arial"/>
        </w:rPr>
        <w:t>–</w:t>
      </w:r>
      <w:r w:rsidR="001B53C1" w:rsidRPr="003D0D67">
        <w:rPr>
          <w:rFonts w:ascii="Arial" w:hAnsi="Arial" w:cs="Arial"/>
        </w:rPr>
        <w:t xml:space="preserve"> </w:t>
      </w:r>
      <w:r w:rsidR="00815B90" w:rsidRPr="003D0D67">
        <w:rPr>
          <w:rFonts w:ascii="Arial" w:hAnsi="Arial" w:cs="Arial"/>
        </w:rPr>
        <w:t xml:space="preserve">is a </w:t>
      </w:r>
      <w:r w:rsidR="00914BA2" w:rsidRPr="003D0D67">
        <w:rPr>
          <w:rFonts w:ascii="Arial" w:hAnsi="Arial" w:cs="Arial"/>
        </w:rPr>
        <w:t xml:space="preserve">measure of disease activity in rheumatoid arthritis. DAS stands for 'disease activity score' and the number 28 refers to the 28 joints that are examined in this assessment. The score has 4 components </w:t>
      </w:r>
    </w:p>
    <w:p w:rsidR="00914BA2" w:rsidRPr="003D0D67" w:rsidRDefault="00914BA2" w:rsidP="00914BA2">
      <w:pPr>
        <w:numPr>
          <w:ilvl w:val="0"/>
          <w:numId w:val="2"/>
        </w:numPr>
        <w:spacing w:before="60" w:after="100" w:afterAutospacing="1" w:line="240" w:lineRule="auto"/>
        <w:ind w:left="600"/>
        <w:rPr>
          <w:rFonts w:ascii="Verdana" w:eastAsia="Times New Roman" w:hAnsi="Verdana" w:cs="Times New Roman"/>
          <w:color w:val="252728"/>
          <w:sz w:val="20"/>
          <w:szCs w:val="20"/>
          <w:lang w:eastAsia="en-GB"/>
        </w:rPr>
      </w:pPr>
      <w:r w:rsidRPr="003D0D67">
        <w:rPr>
          <w:rFonts w:ascii="Verdana" w:eastAsia="Times New Roman" w:hAnsi="Verdana" w:cs="Times New Roman"/>
          <w:color w:val="252728"/>
          <w:sz w:val="20"/>
          <w:szCs w:val="20"/>
          <w:lang w:eastAsia="en-GB"/>
        </w:rPr>
        <w:t>count the number of swollen joints (out of the 28),</w:t>
      </w:r>
    </w:p>
    <w:p w:rsidR="00914BA2" w:rsidRPr="003D0D67" w:rsidRDefault="00914BA2" w:rsidP="00914BA2">
      <w:pPr>
        <w:numPr>
          <w:ilvl w:val="0"/>
          <w:numId w:val="2"/>
        </w:numPr>
        <w:spacing w:before="60" w:after="100" w:afterAutospacing="1" w:line="240" w:lineRule="auto"/>
        <w:ind w:left="600"/>
        <w:rPr>
          <w:rFonts w:ascii="Verdana" w:eastAsia="Times New Roman" w:hAnsi="Verdana" w:cs="Times New Roman"/>
          <w:color w:val="252728"/>
          <w:sz w:val="20"/>
          <w:szCs w:val="20"/>
          <w:lang w:eastAsia="en-GB"/>
        </w:rPr>
      </w:pPr>
      <w:r w:rsidRPr="003D0D67">
        <w:rPr>
          <w:rFonts w:ascii="Verdana" w:eastAsia="Times New Roman" w:hAnsi="Verdana" w:cs="Times New Roman"/>
          <w:color w:val="252728"/>
          <w:sz w:val="20"/>
          <w:szCs w:val="20"/>
          <w:lang w:eastAsia="en-GB"/>
        </w:rPr>
        <w:t>count the number of tender joints (out of the 28),</w:t>
      </w:r>
    </w:p>
    <w:p w:rsidR="00914BA2" w:rsidRPr="003D0D67" w:rsidRDefault="00EA010D" w:rsidP="00914BA2">
      <w:pPr>
        <w:numPr>
          <w:ilvl w:val="0"/>
          <w:numId w:val="2"/>
        </w:numPr>
        <w:spacing w:before="60" w:after="100" w:afterAutospacing="1" w:line="240" w:lineRule="auto"/>
        <w:ind w:left="600"/>
        <w:rPr>
          <w:rFonts w:ascii="Verdana" w:eastAsia="Times New Roman" w:hAnsi="Verdana" w:cs="Times New Roman"/>
          <w:color w:val="252728"/>
          <w:sz w:val="20"/>
          <w:szCs w:val="20"/>
          <w:lang w:eastAsia="en-GB"/>
        </w:rPr>
      </w:pPr>
      <w:r w:rsidRPr="003D0D67">
        <w:rPr>
          <w:rFonts w:ascii="Verdana" w:eastAsia="Times New Roman" w:hAnsi="Verdana" w:cs="Times New Roman"/>
          <w:color w:val="252728"/>
          <w:sz w:val="20"/>
          <w:szCs w:val="20"/>
          <w:lang w:eastAsia="en-GB"/>
        </w:rPr>
        <w:t xml:space="preserve">a blood test </w:t>
      </w:r>
      <w:r w:rsidR="00815B90" w:rsidRPr="00815B90">
        <w:rPr>
          <w:rFonts w:ascii="Verdana" w:eastAsia="Times New Roman" w:hAnsi="Verdana" w:cs="Times New Roman"/>
          <w:color w:val="252728"/>
          <w:sz w:val="20"/>
          <w:szCs w:val="20"/>
          <w:lang w:eastAsia="en-GB"/>
        </w:rPr>
        <w:t xml:space="preserve">for markers of inflammation </w:t>
      </w:r>
    </w:p>
    <w:p w:rsidR="00914BA2" w:rsidRPr="003D0D67" w:rsidRDefault="00815B90" w:rsidP="003D0D67">
      <w:pPr>
        <w:numPr>
          <w:ilvl w:val="0"/>
          <w:numId w:val="2"/>
        </w:numPr>
        <w:spacing w:before="60" w:after="100" w:afterAutospacing="1" w:line="240" w:lineRule="auto"/>
        <w:ind w:left="600"/>
        <w:rPr>
          <w:rFonts w:ascii="Verdana" w:eastAsia="Times New Roman" w:hAnsi="Verdana"/>
          <w:color w:val="252728"/>
          <w:sz w:val="20"/>
          <w:szCs w:val="20"/>
        </w:rPr>
      </w:pPr>
      <w:r w:rsidRPr="003D0D67">
        <w:rPr>
          <w:rFonts w:ascii="Verdana" w:eastAsia="Times New Roman" w:hAnsi="Verdana" w:cs="Times New Roman"/>
          <w:color w:val="252728"/>
          <w:sz w:val="20"/>
          <w:szCs w:val="20"/>
          <w:lang w:eastAsia="en-GB"/>
        </w:rPr>
        <w:t>the patient</w:t>
      </w:r>
      <w:r>
        <w:rPr>
          <w:rFonts w:ascii="Verdana" w:eastAsia="Times New Roman" w:hAnsi="Verdana" w:cs="Times New Roman"/>
          <w:color w:val="252728"/>
          <w:sz w:val="20"/>
          <w:szCs w:val="20"/>
          <w:lang w:eastAsia="en-GB"/>
        </w:rPr>
        <w:t>’</w:t>
      </w:r>
      <w:r w:rsidRPr="003D0D67">
        <w:rPr>
          <w:rFonts w:ascii="Verdana" w:eastAsia="Times New Roman" w:hAnsi="Verdana" w:cs="Times New Roman"/>
          <w:color w:val="252728"/>
          <w:sz w:val="20"/>
          <w:szCs w:val="20"/>
          <w:lang w:eastAsia="en-GB"/>
        </w:rPr>
        <w:t xml:space="preserve">s view of their overall health </w:t>
      </w:r>
    </w:p>
    <w:p w:rsidR="00683D9B" w:rsidRPr="00683D9B" w:rsidRDefault="00683D9B" w:rsidP="003D0D67">
      <w:pPr>
        <w:spacing w:line="360" w:lineRule="auto"/>
        <w:jc w:val="both"/>
        <w:rPr>
          <w:rFonts w:ascii="Arial" w:hAnsi="Arial" w:cs="Arial"/>
        </w:rPr>
      </w:pPr>
    </w:p>
    <w:sectPr w:rsidR="00683D9B" w:rsidRPr="00683D9B" w:rsidSect="004B4F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73E"/>
    <w:multiLevelType w:val="hybridMultilevel"/>
    <w:tmpl w:val="5D24A0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3641AC9"/>
    <w:multiLevelType w:val="hybridMultilevel"/>
    <w:tmpl w:val="CB32E0B6"/>
    <w:lvl w:ilvl="0" w:tplc="85E669D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FD65643"/>
    <w:multiLevelType w:val="hybridMultilevel"/>
    <w:tmpl w:val="1E8C5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54A782F"/>
    <w:multiLevelType w:val="multilevel"/>
    <w:tmpl w:val="CAC45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F01CE6"/>
    <w:multiLevelType w:val="hybridMultilevel"/>
    <w:tmpl w:val="2222E93A"/>
    <w:lvl w:ilvl="0" w:tplc="0AFE36D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683D9B"/>
    <w:rsid w:val="0005681E"/>
    <w:rsid w:val="00124948"/>
    <w:rsid w:val="00126020"/>
    <w:rsid w:val="001B53C1"/>
    <w:rsid w:val="00240466"/>
    <w:rsid w:val="002419FC"/>
    <w:rsid w:val="002454A4"/>
    <w:rsid w:val="00334C17"/>
    <w:rsid w:val="003404BA"/>
    <w:rsid w:val="00392A27"/>
    <w:rsid w:val="003D0D67"/>
    <w:rsid w:val="00421E2F"/>
    <w:rsid w:val="00492780"/>
    <w:rsid w:val="00492881"/>
    <w:rsid w:val="004B0B5C"/>
    <w:rsid w:val="004B4FCB"/>
    <w:rsid w:val="005069FE"/>
    <w:rsid w:val="00507B06"/>
    <w:rsid w:val="00570261"/>
    <w:rsid w:val="00683D9B"/>
    <w:rsid w:val="00727632"/>
    <w:rsid w:val="007C1672"/>
    <w:rsid w:val="007F12C7"/>
    <w:rsid w:val="008003D7"/>
    <w:rsid w:val="00815B90"/>
    <w:rsid w:val="008F3C48"/>
    <w:rsid w:val="00911B8E"/>
    <w:rsid w:val="00911DB1"/>
    <w:rsid w:val="00914BA2"/>
    <w:rsid w:val="009C55CC"/>
    <w:rsid w:val="009F19FC"/>
    <w:rsid w:val="00A60FB0"/>
    <w:rsid w:val="00A72ACA"/>
    <w:rsid w:val="00A949BD"/>
    <w:rsid w:val="00AC03AD"/>
    <w:rsid w:val="00AF69B7"/>
    <w:rsid w:val="00B377EE"/>
    <w:rsid w:val="00B77999"/>
    <w:rsid w:val="00B922E0"/>
    <w:rsid w:val="00C37153"/>
    <w:rsid w:val="00C54D11"/>
    <w:rsid w:val="00CC1A77"/>
    <w:rsid w:val="00D91C9E"/>
    <w:rsid w:val="00DB5225"/>
    <w:rsid w:val="00E00F49"/>
    <w:rsid w:val="00E03BE8"/>
    <w:rsid w:val="00E574C7"/>
    <w:rsid w:val="00EA010D"/>
    <w:rsid w:val="00F1210E"/>
    <w:rsid w:val="00F23FF3"/>
    <w:rsid w:val="00F3023F"/>
    <w:rsid w:val="00F45CA8"/>
    <w:rsid w:val="00F623E4"/>
    <w:rsid w:val="00F67241"/>
    <w:rsid w:val="00FC0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CB"/>
  </w:style>
  <w:style w:type="paragraph" w:styleId="Heading3">
    <w:name w:val="heading 3"/>
    <w:basedOn w:val="Normal"/>
    <w:link w:val="Heading3Char"/>
    <w:uiPriority w:val="9"/>
    <w:qFormat/>
    <w:rsid w:val="00914BA2"/>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B0"/>
    <w:pPr>
      <w:ind w:left="720"/>
      <w:contextualSpacing/>
    </w:pPr>
  </w:style>
  <w:style w:type="paragraph" w:styleId="NormalWeb">
    <w:name w:val="Normal (Web)"/>
    <w:basedOn w:val="Normal"/>
    <w:uiPriority w:val="99"/>
    <w:semiHidden/>
    <w:unhideWhenUsed/>
    <w:rsid w:val="00F67241"/>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922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2E0"/>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F3023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3023F"/>
    <w:rPr>
      <w:rFonts w:ascii="Times New Roman" w:hAnsi="Times New Roman" w:cs="Times New Roman"/>
      <w:sz w:val="24"/>
      <w:szCs w:val="24"/>
    </w:rPr>
  </w:style>
  <w:style w:type="paragraph" w:styleId="Revision">
    <w:name w:val="Revision"/>
    <w:hidden/>
    <w:uiPriority w:val="99"/>
    <w:semiHidden/>
    <w:rsid w:val="00F3023F"/>
    <w:pPr>
      <w:spacing w:after="0" w:line="240" w:lineRule="auto"/>
    </w:pPr>
  </w:style>
  <w:style w:type="character" w:styleId="CommentReference">
    <w:name w:val="annotation reference"/>
    <w:basedOn w:val="DefaultParagraphFont"/>
    <w:uiPriority w:val="99"/>
    <w:semiHidden/>
    <w:unhideWhenUsed/>
    <w:rsid w:val="00126020"/>
    <w:rPr>
      <w:sz w:val="16"/>
      <w:szCs w:val="16"/>
    </w:rPr>
  </w:style>
  <w:style w:type="paragraph" w:styleId="CommentText">
    <w:name w:val="annotation text"/>
    <w:basedOn w:val="Normal"/>
    <w:link w:val="CommentTextChar"/>
    <w:uiPriority w:val="99"/>
    <w:semiHidden/>
    <w:unhideWhenUsed/>
    <w:rsid w:val="00126020"/>
    <w:pPr>
      <w:spacing w:line="240" w:lineRule="auto"/>
    </w:pPr>
    <w:rPr>
      <w:sz w:val="20"/>
      <w:szCs w:val="20"/>
    </w:rPr>
  </w:style>
  <w:style w:type="character" w:customStyle="1" w:styleId="CommentTextChar">
    <w:name w:val="Comment Text Char"/>
    <w:basedOn w:val="DefaultParagraphFont"/>
    <w:link w:val="CommentText"/>
    <w:uiPriority w:val="99"/>
    <w:semiHidden/>
    <w:rsid w:val="00126020"/>
    <w:rPr>
      <w:sz w:val="20"/>
      <w:szCs w:val="20"/>
    </w:rPr>
  </w:style>
  <w:style w:type="paragraph" w:styleId="CommentSubject">
    <w:name w:val="annotation subject"/>
    <w:basedOn w:val="CommentText"/>
    <w:next w:val="CommentText"/>
    <w:link w:val="CommentSubjectChar"/>
    <w:uiPriority w:val="99"/>
    <w:semiHidden/>
    <w:unhideWhenUsed/>
    <w:rsid w:val="00126020"/>
    <w:rPr>
      <w:b/>
      <w:bCs/>
    </w:rPr>
  </w:style>
  <w:style w:type="character" w:customStyle="1" w:styleId="CommentSubjectChar">
    <w:name w:val="Comment Subject Char"/>
    <w:basedOn w:val="CommentTextChar"/>
    <w:link w:val="CommentSubject"/>
    <w:uiPriority w:val="99"/>
    <w:semiHidden/>
    <w:rsid w:val="00126020"/>
    <w:rPr>
      <w:b/>
      <w:bCs/>
      <w:sz w:val="20"/>
      <w:szCs w:val="20"/>
    </w:rPr>
  </w:style>
  <w:style w:type="character" w:customStyle="1" w:styleId="Heading3Char">
    <w:name w:val="Heading 3 Char"/>
    <w:basedOn w:val="DefaultParagraphFont"/>
    <w:link w:val="Heading3"/>
    <w:uiPriority w:val="9"/>
    <w:rsid w:val="00914BA2"/>
    <w:rPr>
      <w:rFonts w:ascii="Times New Roman" w:hAnsi="Times New Roman" w:cs="Times New Roman"/>
      <w:b/>
      <w:bCs/>
      <w:sz w:val="27"/>
      <w:szCs w:val="27"/>
      <w:lang w:eastAsia="en-GB"/>
    </w:rPr>
  </w:style>
  <w:style w:type="paragraph" w:styleId="NoSpacing">
    <w:name w:val="No Spacing"/>
    <w:uiPriority w:val="1"/>
    <w:qFormat/>
    <w:rsid w:val="00421E2F"/>
    <w:pPr>
      <w:spacing w:after="0" w:line="240" w:lineRule="auto"/>
    </w:pPr>
  </w:style>
  <w:style w:type="table" w:styleId="TableGrid">
    <w:name w:val="Table Grid"/>
    <w:basedOn w:val="TableNormal"/>
    <w:uiPriority w:val="39"/>
    <w:rsid w:val="00CC1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626007">
      <w:bodyDiv w:val="1"/>
      <w:marLeft w:val="0"/>
      <w:marRight w:val="0"/>
      <w:marTop w:val="0"/>
      <w:marBottom w:val="0"/>
      <w:divBdr>
        <w:top w:val="none" w:sz="0" w:space="0" w:color="auto"/>
        <w:left w:val="none" w:sz="0" w:space="0" w:color="auto"/>
        <w:bottom w:val="none" w:sz="0" w:space="0" w:color="auto"/>
        <w:right w:val="none" w:sz="0" w:space="0" w:color="auto"/>
      </w:divBdr>
    </w:div>
    <w:div w:id="824862224">
      <w:bodyDiv w:val="1"/>
      <w:marLeft w:val="0"/>
      <w:marRight w:val="0"/>
      <w:marTop w:val="0"/>
      <w:marBottom w:val="0"/>
      <w:divBdr>
        <w:top w:val="none" w:sz="0" w:space="0" w:color="auto"/>
        <w:left w:val="none" w:sz="0" w:space="0" w:color="auto"/>
        <w:bottom w:val="none" w:sz="0" w:space="0" w:color="auto"/>
        <w:right w:val="none" w:sz="0" w:space="0" w:color="auto"/>
      </w:divBdr>
    </w:div>
    <w:div w:id="991979374">
      <w:bodyDiv w:val="1"/>
      <w:marLeft w:val="0"/>
      <w:marRight w:val="0"/>
      <w:marTop w:val="0"/>
      <w:marBottom w:val="0"/>
      <w:divBdr>
        <w:top w:val="none" w:sz="0" w:space="0" w:color="auto"/>
        <w:left w:val="none" w:sz="0" w:space="0" w:color="auto"/>
        <w:bottom w:val="none" w:sz="0" w:space="0" w:color="auto"/>
        <w:right w:val="none" w:sz="0" w:space="0" w:color="auto"/>
      </w:divBdr>
    </w:div>
    <w:div w:id="1117413969">
      <w:bodyDiv w:val="1"/>
      <w:marLeft w:val="0"/>
      <w:marRight w:val="0"/>
      <w:marTop w:val="0"/>
      <w:marBottom w:val="0"/>
      <w:divBdr>
        <w:top w:val="none" w:sz="0" w:space="0" w:color="auto"/>
        <w:left w:val="none" w:sz="0" w:space="0" w:color="auto"/>
        <w:bottom w:val="none" w:sz="0" w:space="0" w:color="auto"/>
        <w:right w:val="none" w:sz="0" w:space="0" w:color="auto"/>
      </w:divBdr>
    </w:div>
    <w:div w:id="1893038622">
      <w:bodyDiv w:val="1"/>
      <w:marLeft w:val="0"/>
      <w:marRight w:val="0"/>
      <w:marTop w:val="0"/>
      <w:marBottom w:val="0"/>
      <w:divBdr>
        <w:top w:val="none" w:sz="0" w:space="0" w:color="auto"/>
        <w:left w:val="none" w:sz="0" w:space="0" w:color="auto"/>
        <w:bottom w:val="none" w:sz="0" w:space="0" w:color="auto"/>
        <w:right w:val="none" w:sz="0" w:space="0" w:color="auto"/>
      </w:divBdr>
    </w:div>
    <w:div w:id="1893693899">
      <w:bodyDiv w:val="1"/>
      <w:marLeft w:val="0"/>
      <w:marRight w:val="0"/>
      <w:marTop w:val="0"/>
      <w:marBottom w:val="0"/>
      <w:divBdr>
        <w:top w:val="none" w:sz="0" w:space="0" w:color="auto"/>
        <w:left w:val="none" w:sz="0" w:space="0" w:color="auto"/>
        <w:bottom w:val="none" w:sz="0" w:space="0" w:color="auto"/>
        <w:right w:val="none" w:sz="0" w:space="0" w:color="auto"/>
      </w:divBdr>
      <w:divsChild>
        <w:div w:id="1499494645">
          <w:marLeft w:val="0"/>
          <w:marRight w:val="0"/>
          <w:marTop w:val="0"/>
          <w:marBottom w:val="0"/>
          <w:divBdr>
            <w:top w:val="none" w:sz="0" w:space="0" w:color="auto"/>
            <w:left w:val="none" w:sz="0" w:space="0" w:color="auto"/>
            <w:bottom w:val="none" w:sz="0" w:space="0" w:color="auto"/>
            <w:right w:val="none" w:sz="0" w:space="0" w:color="auto"/>
          </w:divBdr>
        </w:div>
      </w:divsChild>
    </w:div>
    <w:div w:id="19796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31891115/?from_term=barton+and+arthritis+and+payne&amp;from_pos=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Baseley</dc:creator>
  <cp:lastModifiedBy>Sasha</cp:lastModifiedBy>
  <cp:revision>2</cp:revision>
  <dcterms:created xsi:type="dcterms:W3CDTF">2020-03-31T08:59:00Z</dcterms:created>
  <dcterms:modified xsi:type="dcterms:W3CDTF">2020-03-31T08:59:00Z</dcterms:modified>
</cp:coreProperties>
</file>